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38.03.03 Управление персоналом (высшее образование - бакалавриат), Направленность (профиль) программы «Организация труда, оценка и развитие персонала»,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Мотивация и стимулирование персонала</w:t>
            </w:r>
          </w:p>
          <w:p>
            <w:pPr>
              <w:jc w:val="center"/>
              <w:spacing w:after="0" w:line="240" w:lineRule="auto"/>
              <w:rPr>
                <w:sz w:val="32"/>
                <w:szCs w:val="32"/>
              </w:rPr>
            </w:pPr>
            <w:r>
              <w:rPr>
                <w:rFonts w:ascii="Times New Roman" w:hAnsi="Times New Roman" w:cs="Times New Roman"/>
                <w:color w:val="#000000"/>
                <w:sz w:val="32"/>
                <w:szCs w:val="32"/>
              </w:rPr>
              <w:t> К.М.01.01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38.03.03 Управление персоналом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«Организация труда, оценка и развитие персонала»</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07.АДМИНИСТРАТИВНО-УПРАВЛЕНЧЕСКАЯ И ОФИСНАЯ ДЕЯТЕЛЬНОСТЬ.</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АДМИНИСТРАТИВНО-УПРАВЛЕНЧЕСКАЯ И ОФИСНАЯ ДЕЯТЕЛЬНОСТЬ</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ПЕРСОНАЛОМ</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08.038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ЭКОНОМИКЕ ТРУДА</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научно- исследовательский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36.56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/Долженко Сергей Петрович/</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38.03.03 Управление персоналом направленность (профиль) программы: «Организация труда, оценка и развитие персонала»; форма обучения – очно-заочная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«Мотивация и стимулирование персонала»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38.03.03 Управление персоналом;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К.М.01.01 «Мотивация и стимулирование персонала».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«Мотивация и стимулирование персонала»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и проводить оценку персонала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знать системы, методы и формы материального и нематериального стимулирования труда персонала</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ПК-2.21 уметь определять мотивационные факторы проведения оценки персонала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ПК-2.41 владеть навыками анализа результатов оценки персонала, подготовки рекомендаций руководству и персоналу</w:t>
            </w:r>
          </w:p>
        </w:tc>
      </w:tr>
      <w:tr>
        <w:trPr>
          <w:trHeight w:hRule="exact" w:val="277.8304"/>
        </w:trPr>
        <w:tc>
          <w:tcPr>
            <w:tcW w:w="9640" w:type="dxa"/>
          </w:tcP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организацию обучения персонала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ПК-3.4 знать системы, методы и формы материального и нематериального стимулирования труда персонала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ПК-3.29 уметь применить системы, методы и формы материального и нематериального стимулирования труда персонала</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ПК-3.39 владеть навыками применения системы, методов и форм материального и нематериального стимулирования труда персонала</w:t>
            </w:r>
          </w:p>
        </w:tc>
      </w:tr>
      <w:tr>
        <w:trPr>
          <w:trHeight w:hRule="exact" w:val="277.8295"/>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принципы и методы анализа имеющихся ресурсов и ограничений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определять круг задач в рамках поставленной цели, исходя из действующих нормативно-правовых актов, имеющихся ресурсов и ограничений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владеть практическими навыками определения круга задач в рамках поставленной цели, исходя из действующих правовых норм, имеющихся ресурсов и ограничений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К.М.01.01 «Мотивация и стимулирование персонала» относится к обязательной части, является дисциплиной Блока Б1. «Дисциплины (модули)». Модуль "Организация труда" основной профессиональной образовательной программы высшего образования - бакалавриат по направлению подготовки 38.03.03 Управление персоналом.</w:t>
            </w:r>
          </w:p>
        </w:tc>
      </w:tr>
      <w:tr>
        <w:trPr>
          <w:trHeight w:hRule="exact" w:val="138.91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054.47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Информационные системы и базы данных в управлении персоналом</w:t>
            </w:r>
          </w:p>
          <w:p>
            <w:pPr>
              <w:jc w:val="center"/>
              <w:spacing w:after="0" w:line="240" w:lineRule="auto"/>
              <w:rPr>
                <w:sz w:val="22"/>
                <w:szCs w:val="22"/>
              </w:rPr>
            </w:pPr>
            <w:r>
              <w:rPr>
                <w:rFonts w:ascii="Times New Roman" w:hAnsi="Times New Roman" w:cs="Times New Roman"/>
                <w:color w:val="#000000"/>
                <w:sz w:val="22"/>
                <w:szCs w:val="22"/>
              </w:rPr>
              <w:t> Организационное поведение</w:t>
            </w:r>
          </w:p>
          <w:p>
            <w:pPr>
              <w:jc w:val="center"/>
              <w:spacing w:after="0" w:line="240" w:lineRule="auto"/>
              <w:rPr>
                <w:sz w:val="22"/>
                <w:szCs w:val="22"/>
              </w:rPr>
            </w:pPr>
            <w:r>
              <w:rPr>
                <w:rFonts w:ascii="Times New Roman" w:hAnsi="Times New Roman" w:cs="Times New Roman"/>
                <w:color w:val="#000000"/>
                <w:sz w:val="22"/>
                <w:szCs w:val="22"/>
              </w:rPr>
              <w:t> Оценка и отбор персонала</w:t>
            </w:r>
          </w:p>
          <w:p>
            <w:pPr>
              <w:jc w:val="center"/>
              <w:spacing w:after="0" w:line="240" w:lineRule="auto"/>
              <w:rPr>
                <w:sz w:val="22"/>
                <w:szCs w:val="22"/>
              </w:rPr>
            </w:pPr>
            <w:r>
              <w:rPr>
                <w:rFonts w:ascii="Times New Roman" w:hAnsi="Times New Roman" w:cs="Times New Roman"/>
                <w:color w:val="#000000"/>
                <w:sz w:val="22"/>
                <w:szCs w:val="22"/>
              </w:rPr>
              <w:t> Педагогика</w:t>
            </w:r>
          </w:p>
          <w:p>
            <w:pPr>
              <w:jc w:val="center"/>
              <w:spacing w:after="0" w:line="240" w:lineRule="auto"/>
              <w:rPr>
                <w:sz w:val="22"/>
                <w:szCs w:val="22"/>
              </w:rPr>
            </w:pPr>
            <w:r>
              <w:rPr>
                <w:rFonts w:ascii="Times New Roman" w:hAnsi="Times New Roman" w:cs="Times New Roman"/>
                <w:color w:val="#000000"/>
                <w:sz w:val="22"/>
                <w:szCs w:val="22"/>
              </w:rPr>
              <w:t> Принятие управленческих решений</w:t>
            </w:r>
          </w:p>
          <w:p>
            <w:pPr>
              <w:jc w:val="center"/>
              <w:spacing w:after="0" w:line="240" w:lineRule="auto"/>
              <w:rPr>
                <w:sz w:val="22"/>
                <w:szCs w:val="22"/>
              </w:rPr>
            </w:pPr>
            <w:r>
              <w:rPr>
                <w:rFonts w:ascii="Times New Roman" w:hAnsi="Times New Roman" w:cs="Times New Roman"/>
                <w:color w:val="#000000"/>
                <w:sz w:val="22"/>
                <w:szCs w:val="22"/>
              </w:rPr>
              <w:t> Психология труда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Бюджетирование  в управлении персоналом</w:t>
            </w:r>
          </w:p>
          <w:p>
            <w:pPr>
              <w:jc w:val="center"/>
              <w:spacing w:after="0" w:line="240" w:lineRule="auto"/>
              <w:rPr>
                <w:sz w:val="22"/>
                <w:szCs w:val="22"/>
              </w:rPr>
            </w:pPr>
            <w:r>
              <w:rPr>
                <w:rFonts w:ascii="Times New Roman" w:hAnsi="Times New Roman" w:cs="Times New Roman"/>
                <w:color w:val="#000000"/>
                <w:sz w:val="22"/>
                <w:szCs w:val="22"/>
              </w:rPr>
              <w:t> Контроллинг персонала</w:t>
            </w:r>
          </w:p>
          <w:p>
            <w:pPr>
              <w:jc w:val="center"/>
              <w:spacing w:after="0" w:line="240" w:lineRule="auto"/>
              <w:rPr>
                <w:sz w:val="22"/>
                <w:szCs w:val="22"/>
              </w:rPr>
            </w:pPr>
            <w:r>
              <w:rPr>
                <w:rFonts w:ascii="Times New Roman" w:hAnsi="Times New Roman" w:cs="Times New Roman"/>
                <w:color w:val="#000000"/>
                <w:sz w:val="22"/>
                <w:szCs w:val="22"/>
              </w:rPr>
              <w:t> Основы организации труда</w:t>
            </w:r>
          </w:p>
          <w:p>
            <w:pPr>
              <w:jc w:val="center"/>
              <w:spacing w:after="0" w:line="240" w:lineRule="auto"/>
              <w:rPr>
                <w:sz w:val="22"/>
                <w:szCs w:val="22"/>
              </w:rPr>
            </w:pPr>
            <w:r>
              <w:rPr>
                <w:rFonts w:ascii="Times New Roman" w:hAnsi="Times New Roman" w:cs="Times New Roman"/>
                <w:color w:val="#000000"/>
                <w:sz w:val="22"/>
                <w:szCs w:val="22"/>
              </w:rPr>
              <w:t> Стратегии управления человеческими ресурсами</w:t>
            </w:r>
          </w:p>
          <w:p>
            <w:pPr>
              <w:jc w:val="center"/>
              <w:spacing w:after="0" w:line="240" w:lineRule="auto"/>
              <w:rPr>
                <w:sz w:val="22"/>
                <w:szCs w:val="22"/>
              </w:rPr>
            </w:pPr>
            <w:r>
              <w:rPr>
                <w:rFonts w:ascii="Times New Roman" w:hAnsi="Times New Roman" w:cs="Times New Roman"/>
                <w:color w:val="#000000"/>
                <w:sz w:val="22"/>
                <w:szCs w:val="22"/>
              </w:rPr>
              <w:t> Управление адаптацией персонала</w:t>
            </w:r>
          </w:p>
          <w:p>
            <w:pPr>
              <w:jc w:val="center"/>
              <w:spacing w:after="0" w:line="240" w:lineRule="auto"/>
              <w:rPr>
                <w:sz w:val="22"/>
                <w:szCs w:val="22"/>
              </w:rPr>
            </w:pPr>
            <w:r>
              <w:rPr>
                <w:rFonts w:ascii="Times New Roman" w:hAnsi="Times New Roman" w:cs="Times New Roman"/>
                <w:color w:val="#000000"/>
                <w:sz w:val="22"/>
                <w:szCs w:val="22"/>
              </w:rPr>
              <w:t> Экономика труда</w:t>
            </w:r>
          </w:p>
          <w:p>
            <w:pPr>
              <w:jc w:val="center"/>
              <w:spacing w:after="0" w:line="240" w:lineRule="auto"/>
              <w:rPr>
                <w:sz w:val="22"/>
                <w:szCs w:val="22"/>
              </w:rPr>
            </w:pPr>
            <w:r>
              <w:rPr>
                <w:rFonts w:ascii="Times New Roman" w:hAnsi="Times New Roman" w:cs="Times New Roman"/>
                <w:color w:val="#000000"/>
                <w:sz w:val="22"/>
                <w:szCs w:val="22"/>
              </w:rPr>
              <w:t> Аудит персонала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 ПК-2, УК-2</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207"/>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Основные категории мотивации персонала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Материальные стимулы трудовой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1125.873"/>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Моральное стимулирование персонала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Психологические аспекты мотивации трудовой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Корпоративная культура как метод мотивации персонала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Сущность  и формы стимулирования персонала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Структуры  ответственные за мотивацию и стимулирование на предприятии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Создание кадрового резерва как форма стимулирования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Дополнительные мотивирующие факторы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Ротация персонала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форм морального стимулирования, обеспечивающих устойчивый и доказанный уровень эффективности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"Круглый стол"на тему "Достижение эффективности мотивации и стимулироования персонала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7151.25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931.46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Основные категории мотивации персонала</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Мотивация- это формирование внутренних побуждающих факторов, действующих через самосознание.</w:t>
            </w:r>
          </w:p>
          <w:p>
            <w:pPr>
              <w:jc w:val="both"/>
              <w:spacing w:after="0" w:line="240" w:lineRule="auto"/>
              <w:rPr>
                <w:sz w:val="24"/>
                <w:szCs w:val="24"/>
              </w:rPr>
            </w:pPr>
            <w:r>
              <w:rPr>
                <w:rFonts w:ascii="Times New Roman" w:hAnsi="Times New Roman" w:cs="Times New Roman"/>
                <w:color w:val="#000000"/>
                <w:sz w:val="24"/>
                <w:szCs w:val="24"/>
              </w:rPr>
              <w:t> Существуют различные факторы мотивации, которые определяют, что является наиболее важным для конкретного человека. Как правило, это не один фактор, а несколько. Факторы мотивации принято делить на внешние и внутренние.</w:t>
            </w:r>
          </w:p>
          <w:p>
            <w:pPr>
              <w:jc w:val="both"/>
              <w:spacing w:after="0" w:line="240" w:lineRule="auto"/>
              <w:rPr>
                <w:sz w:val="24"/>
                <w:szCs w:val="24"/>
              </w:rPr>
            </w:pPr>
            <w:r>
              <w:rPr>
                <w:rFonts w:ascii="Times New Roman" w:hAnsi="Times New Roman" w:cs="Times New Roman"/>
                <w:color w:val="#000000"/>
                <w:sz w:val="24"/>
                <w:szCs w:val="24"/>
              </w:rPr>
              <w:t> Внутренними факторами мотивации могут выступать:</w:t>
            </w:r>
          </w:p>
          <w:p>
            <w:pPr>
              <w:jc w:val="both"/>
              <w:spacing w:after="0" w:line="240" w:lineRule="auto"/>
              <w:rPr>
                <w:sz w:val="24"/>
                <w:szCs w:val="24"/>
              </w:rPr>
            </w:pPr>
            <w:r>
              <w:rPr>
                <w:rFonts w:ascii="Times New Roman" w:hAnsi="Times New Roman" w:cs="Times New Roman"/>
                <w:color w:val="#000000"/>
                <w:sz w:val="24"/>
                <w:szCs w:val="24"/>
              </w:rPr>
              <w:t> - самореализация,</w:t>
            </w:r>
          </w:p>
          <w:p>
            <w:pPr>
              <w:jc w:val="both"/>
              <w:spacing w:after="0" w:line="240" w:lineRule="auto"/>
              <w:rPr>
                <w:sz w:val="24"/>
                <w:szCs w:val="24"/>
              </w:rPr>
            </w:pPr>
            <w:r>
              <w:rPr>
                <w:rFonts w:ascii="Times New Roman" w:hAnsi="Times New Roman" w:cs="Times New Roman"/>
                <w:color w:val="#000000"/>
                <w:sz w:val="24"/>
                <w:szCs w:val="24"/>
              </w:rPr>
              <w:t> -  самоутверждение,</w:t>
            </w:r>
          </w:p>
          <w:p>
            <w:pPr>
              <w:jc w:val="both"/>
              <w:spacing w:after="0" w:line="240" w:lineRule="auto"/>
              <w:rPr>
                <w:sz w:val="24"/>
                <w:szCs w:val="24"/>
              </w:rPr>
            </w:pPr>
            <w:r>
              <w:rPr>
                <w:rFonts w:ascii="Times New Roman" w:hAnsi="Times New Roman" w:cs="Times New Roman"/>
                <w:color w:val="#000000"/>
                <w:sz w:val="24"/>
                <w:szCs w:val="24"/>
              </w:rPr>
              <w:t> - творчество,</w:t>
            </w:r>
          </w:p>
          <w:p>
            <w:pPr>
              <w:jc w:val="both"/>
              <w:spacing w:after="0" w:line="240" w:lineRule="auto"/>
              <w:rPr>
                <w:sz w:val="24"/>
                <w:szCs w:val="24"/>
              </w:rPr>
            </w:pPr>
            <w:r>
              <w:rPr>
                <w:rFonts w:ascii="Times New Roman" w:hAnsi="Times New Roman" w:cs="Times New Roman"/>
                <w:color w:val="#000000"/>
                <w:sz w:val="24"/>
                <w:szCs w:val="24"/>
              </w:rPr>
              <w:t> - убежденность,</w:t>
            </w:r>
          </w:p>
          <w:p>
            <w:pPr>
              <w:jc w:val="both"/>
              <w:spacing w:after="0" w:line="240" w:lineRule="auto"/>
              <w:rPr>
                <w:sz w:val="24"/>
                <w:szCs w:val="24"/>
              </w:rPr>
            </w:pPr>
            <w:r>
              <w:rPr>
                <w:rFonts w:ascii="Times New Roman" w:hAnsi="Times New Roman" w:cs="Times New Roman"/>
                <w:color w:val="#000000"/>
                <w:sz w:val="24"/>
                <w:szCs w:val="24"/>
              </w:rPr>
              <w:t> - любопытство,</w:t>
            </w:r>
          </w:p>
          <w:p>
            <w:pPr>
              <w:jc w:val="both"/>
              <w:spacing w:after="0" w:line="240" w:lineRule="auto"/>
              <w:rPr>
                <w:sz w:val="24"/>
                <w:szCs w:val="24"/>
              </w:rPr>
            </w:pPr>
            <w:r>
              <w:rPr>
                <w:rFonts w:ascii="Times New Roman" w:hAnsi="Times New Roman" w:cs="Times New Roman"/>
                <w:color w:val="#000000"/>
                <w:sz w:val="24"/>
                <w:szCs w:val="24"/>
              </w:rPr>
              <w:t> - потребность в общении и т.п.</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Материальные стимулы трудовой деятельности</w:t>
            </w:r>
          </w:p>
        </w:tc>
      </w:tr>
      <w:tr>
        <w:trPr>
          <w:trHeight w:hRule="exact" w:val="728.090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Стимулирование персонала- это внешние рычаги активизации персонала, то есть побуждение с помощью материальной заинтересованности.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Эффективность работы магазина, его товарооборот и количество прибыли во многом зависит от качества работы его сотрудников. Для того, что бы сотрудники действительно качественно выполняли свои обязанности, необходимо создать благоприятные условия труда, то есть проводить комплексное стимулирование и мотивацию персонала.</w:t>
            </w:r>
          </w:p>
          <w:p>
            <w:pPr>
              <w:jc w:val="both"/>
              <w:spacing w:after="0" w:line="240" w:lineRule="auto"/>
              <w:rPr>
                <w:sz w:val="24"/>
                <w:szCs w:val="24"/>
              </w:rPr>
            </w:pPr>
            <w:r>
              <w:rPr>
                <w:rFonts w:ascii="Times New Roman" w:hAnsi="Times New Roman" w:cs="Times New Roman"/>
                <w:color w:val="#000000"/>
                <w:sz w:val="24"/>
                <w:szCs w:val="24"/>
              </w:rPr>
              <w:t> Методы стимулирования могут быть как поощрительными, так и наказывающие</w:t>
            </w:r>
          </w:p>
        </w:tc>
      </w:tr>
      <w:tr>
        <w:trPr>
          <w:trHeight w:hRule="exact" w:val="1125.87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Моральное стимулирование персонала</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Накоплен значительный опыт морального стимулирования персонала.Вместе с тем,следует помнить,что моральное стимулирование достигает эффекта только при удовлетворении основых материальных потребностей человеческих ресурсов.</w:t>
            </w:r>
          </w:p>
        </w:tc>
      </w:tr>
      <w:tr>
        <w:trPr>
          <w:trHeight w:hRule="exact" w:val="304.584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Психологические аспекты мотивации трудовой деятельности</w:t>
            </w: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Необходимость удовлетворения человеческих нужд или потребностей является важнейшей социально-экономической задачей в рыночных отношениях. На рынке под нуждой принято понимать чувство ощущаемой человеком нехватки чего-либо: товара, услуги, блага. Нужды не создаются усилиями людей, а являются исходными составляющими природы человека. Как правило, нужда переходит в потребность людей.</w:t>
            </w:r>
          </w:p>
          <w:p>
            <w:pPr>
              <w:jc w:val="both"/>
              <w:spacing w:after="0" w:line="240" w:lineRule="auto"/>
              <w:rPr>
                <w:sz w:val="24"/>
                <w:szCs w:val="24"/>
              </w:rPr>
            </w:pPr>
            <w:r>
              <w:rPr>
                <w:rFonts w:ascii="Times New Roman" w:hAnsi="Times New Roman" w:cs="Times New Roman"/>
                <w:color w:val="#000000"/>
                <w:sz w:val="24"/>
                <w:szCs w:val="24"/>
              </w:rPr>
              <w:t> Потребность человека характеризует его конкретную нужду, принявшую специфическую форму в соответствии с культурным уровнем и личностью индивида. Потребностям и желаниям человека, по словам А. Маршалла, нет числа, виды их очень разнообразны, но возможности их удовлетворения обычно ограничены. Все потребности человека по основным своим признакам можно подразделять на абсолютные и относительные, высшие и низшие, позитивные и негативные, прямые и косвенные, общие и особенные, постоянные и временные, обычные и чрезвычайные, беспрерывные и прерывные, настоящие и будущие, индивидуальные и коллективные, частные и государственные и т.д.</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Корпоративная культура как метод мотивации персонала</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Корпоративная культура неразрывно связна с мотивацией персонала, так как ее правильно формирование влияет на благоприятную атмосферу внутри самой компании, а также поддержание комфортной деловой среды в офисе. Согласно статистике, до 85% мотивации каждого сотрудника зависит от:</w:t>
            </w:r>
          </w:p>
          <w:p>
            <w:pPr>
              <w:jc w:val="both"/>
              <w:spacing w:after="0" w:line="240" w:lineRule="auto"/>
              <w:rPr>
                <w:sz w:val="24"/>
                <w:szCs w:val="24"/>
              </w:rPr>
            </w:pPr>
            <w:r>
              <w:rPr>
                <w:rFonts w:ascii="Times New Roman" w:hAnsi="Times New Roman" w:cs="Times New Roman"/>
                <w:color w:val="#000000"/>
                <w:sz w:val="24"/>
                <w:szCs w:val="24"/>
              </w:rPr>
              <w:t> •	стабильности компании,</w:t>
            </w:r>
          </w:p>
          <w:p>
            <w:pPr>
              <w:jc w:val="both"/>
              <w:spacing w:after="0" w:line="240" w:lineRule="auto"/>
              <w:rPr>
                <w:sz w:val="24"/>
                <w:szCs w:val="24"/>
              </w:rPr>
            </w:pPr>
            <w:r>
              <w:rPr>
                <w:rFonts w:ascii="Times New Roman" w:hAnsi="Times New Roman" w:cs="Times New Roman"/>
                <w:color w:val="#000000"/>
                <w:sz w:val="24"/>
                <w:szCs w:val="24"/>
              </w:rPr>
              <w:t> •	места, которое человек занимает в организации,</w:t>
            </w:r>
          </w:p>
          <w:p>
            <w:pPr>
              <w:jc w:val="both"/>
              <w:spacing w:after="0" w:line="240" w:lineRule="auto"/>
              <w:rPr>
                <w:sz w:val="24"/>
                <w:szCs w:val="24"/>
              </w:rPr>
            </w:pPr>
            <w:r>
              <w:rPr>
                <w:rFonts w:ascii="Times New Roman" w:hAnsi="Times New Roman" w:cs="Times New Roman"/>
                <w:color w:val="#000000"/>
                <w:sz w:val="24"/>
                <w:szCs w:val="24"/>
              </w:rPr>
              <w:t> •	какие возможностей для карьерного роста,</w:t>
            </w:r>
          </w:p>
          <w:p>
            <w:pPr>
              <w:jc w:val="both"/>
              <w:spacing w:after="0" w:line="240" w:lineRule="auto"/>
              <w:rPr>
                <w:sz w:val="24"/>
                <w:szCs w:val="24"/>
              </w:rPr>
            </w:pPr>
            <w:r>
              <w:rPr>
                <w:rFonts w:ascii="Times New Roman" w:hAnsi="Times New Roman" w:cs="Times New Roman"/>
                <w:color w:val="#000000"/>
                <w:sz w:val="24"/>
                <w:szCs w:val="24"/>
              </w:rPr>
              <w:t> •	ценят ли человека коллеги и руководство.</w:t>
            </w:r>
          </w:p>
          <w:p>
            <w:pPr>
              <w:jc w:val="both"/>
              <w:spacing w:after="0" w:line="240" w:lineRule="auto"/>
              <w:rPr>
                <w:sz w:val="24"/>
                <w:szCs w:val="24"/>
              </w:rPr>
            </w:pPr>
            <w:r>
              <w:rPr>
                <w:rFonts w:ascii="Times New Roman" w:hAnsi="Times New Roman" w:cs="Times New Roman"/>
                <w:color w:val="#000000"/>
                <w:sz w:val="24"/>
                <w:szCs w:val="24"/>
              </w:rPr>
              <w:t> Основная цель создания корпоративной культуры заключается в формировании крепкого коллектива, где каждый сотрудник с удовольствием делает общее дело.</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Сущность  и формы стимулирования персонала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Как уже отмечалось , понятия «мотивирование» и «стимулирование» неразрывно связаны между собой. Вместе с тем стимулирование принципиально отличается от мотивирования. Стимулирование — это средство, с помощью которого осуществляется мотивирование персонала организации; это способ вознаграждения (иногда и наказания) за участие работника в производстве продукции (услуг) и т.п. Оно базируется на сопоставлении требуемой и фактической эффективности труда работника.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Структуры  ответственные за мотивацию и стимулирование на предприятии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Субъекты, создающие мотивацию к труду, достаточно многообразны. Мотивация труда работников зависит от их потребностей, интересов, ценностных ориентаций. Мотивация труда зависит от предприятия, на котором работают люди, от того, какая политика администрации проводится по отношению к работникам, какие методы социальной защиты применяются, какая существует социальная инфраструктура.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Создание кадрового резерва как форма стимулирования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Создание кадрового резерва делает очевидным для сотрудников возможность продвижения по службе и получения более высоких доходов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Дополнительные мотивирующие факторы</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Карьерный рост.</w:t>
            </w:r>
          </w:p>
          <w:p>
            <w:pPr>
              <w:jc w:val="both"/>
              <w:spacing w:after="0" w:line="240" w:lineRule="auto"/>
              <w:rPr>
                <w:sz w:val="24"/>
                <w:szCs w:val="24"/>
              </w:rPr>
            </w:pPr>
            <w:r>
              <w:rPr>
                <w:rFonts w:ascii="Times New Roman" w:hAnsi="Times New Roman" w:cs="Times New Roman"/>
                <w:color w:val="#000000"/>
                <w:sz w:val="24"/>
                <w:szCs w:val="24"/>
              </w:rPr>
              <w:t> Здесь важно не столько само повышение, сколько признание руководством и коллегами. Это мотивирует в дальнейшем работать еще более эффективно, а также стремиться к большему (как в личном развитии, так и в развитии компании, в целом).</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Ротация персонала</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 помощи этого инструмента можно не только повысить профессиональной квалификации отдельно взятого сотрудника, но и обеспечить взаимозаменяемость внутри коллектива. Также такой метод дает возможность расширить представления сотрудников о различных направлениях деятельности внутри компании и может значительно укрепить связи между подразделениями.</w:t>
            </w:r>
          </w:p>
          <w:p>
            <w:pPr>
              <w:jc w:val="both"/>
              <w:spacing w:after="0" w:line="240" w:lineRule="auto"/>
              <w:rPr>
                <w:sz w:val="24"/>
                <w:szCs w:val="24"/>
              </w:rPr>
            </w:pPr>
            <w:r>
              <w:rPr>
                <w:rFonts w:ascii="Times New Roman" w:hAnsi="Times New Roman" w:cs="Times New Roman"/>
                <w:color w:val="#000000"/>
                <w:sz w:val="24"/>
                <w:szCs w:val="24"/>
              </w:rPr>
              <w:t> •	Информирование.</w:t>
            </w:r>
          </w:p>
          <w:p>
            <w:pPr>
              <w:jc w:val="both"/>
              <w:spacing w:after="0" w:line="240" w:lineRule="auto"/>
              <w:rPr>
                <w:sz w:val="24"/>
                <w:szCs w:val="24"/>
              </w:rPr>
            </w:pPr>
            <w:r>
              <w:rPr>
                <w:rFonts w:ascii="Times New Roman" w:hAnsi="Times New Roman" w:cs="Times New Roman"/>
                <w:color w:val="#000000"/>
                <w:sz w:val="24"/>
                <w:szCs w:val="24"/>
              </w:rPr>
              <w:t> Чем больше у каждого человека в вашем коллективе есть информации о компании, тем меньше у людей возникает состояние неопределенности и неясности</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45"/>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Анализ форм морального стимулирования, обеспечивающих устойчивый и доказанный уровень эффективности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"Круглый стол"на тему "Достижение эффективности мотивации и стимулироования персонала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«Мотивация и стимулирование персонала» / Долженко Сергей Петрович.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Мотивация</w:t>
            </w:r>
            <w:r>
              <w:rPr/>
              <w:t xml:space="preserve"> </w:t>
            </w:r>
            <w:r>
              <w:rPr>
                <w:rFonts w:ascii="Times New Roman" w:hAnsi="Times New Roman" w:cs="Times New Roman"/>
                <w:color w:val="#000000"/>
                <w:sz w:val="24"/>
                <w:szCs w:val="24"/>
              </w:rPr>
              <w:t>трудовой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Чиликина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Липецк:</w:t>
            </w:r>
            <w:r>
              <w:rPr/>
              <w:t xml:space="preserve"> </w:t>
            </w:r>
            <w:r>
              <w:rPr>
                <w:rFonts w:ascii="Times New Roman" w:hAnsi="Times New Roman" w:cs="Times New Roman"/>
                <w:color w:val="#000000"/>
                <w:sz w:val="24"/>
                <w:szCs w:val="24"/>
              </w:rPr>
              <w:t>Липецкий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технический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978-5-88247-869-7.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http://www.iprbookshop.ru/83191.html</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Мотивация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стимулирование</w:t>
            </w:r>
            <w:r>
              <w:rPr/>
              <w:t xml:space="preserve"> </w:t>
            </w:r>
            <w:r>
              <w:rPr>
                <w:rFonts w:ascii="Times New Roman" w:hAnsi="Times New Roman" w:cs="Times New Roman"/>
                <w:color w:val="#000000"/>
                <w:sz w:val="24"/>
                <w:szCs w:val="24"/>
              </w:rPr>
              <w:t>трудовой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Трапицын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Панфилова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Агапова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Апевалова</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Бавина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Волковицкая</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Жарова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Кисин</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Кутыева</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Петрова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Чурилина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978-5-9916-8271-8.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https://urait.ru/bcode/490036</w:t>
            </w:r>
            <w:r>
              <w:rPr/>
              <w:t xml:space="preserve"> </w:t>
            </w:r>
          </w:p>
        </w:tc>
      </w:tr>
      <w:tr>
        <w:trPr>
          <w:trHeight w:hRule="exact" w:val="277.8299"/>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Формирование</w:t>
            </w:r>
            <w:r>
              <w:rPr/>
              <w:t xml:space="preserve"> </w:t>
            </w:r>
            <w:r>
              <w:rPr>
                <w:rFonts w:ascii="Times New Roman" w:hAnsi="Times New Roman" w:cs="Times New Roman"/>
                <w:color w:val="#000000"/>
                <w:sz w:val="24"/>
                <w:szCs w:val="24"/>
              </w:rPr>
              <w:t>рациональной</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стимулирования</w:t>
            </w:r>
            <w:r>
              <w:rPr/>
              <w:t xml:space="preserve"> </w:t>
            </w:r>
            <w:r>
              <w:rPr>
                <w:rFonts w:ascii="Times New Roman" w:hAnsi="Times New Roman" w:cs="Times New Roman"/>
                <w:color w:val="#000000"/>
                <w:sz w:val="24"/>
                <w:szCs w:val="24"/>
              </w:rPr>
              <w:t>персонала</w:t>
            </w:r>
            <w:r>
              <w:rPr/>
              <w:t xml:space="preserve"> </w:t>
            </w:r>
            <w:r>
              <w:rPr>
                <w:rFonts w:ascii="Times New Roman" w:hAnsi="Times New Roman" w:cs="Times New Roman"/>
                <w:color w:val="#000000"/>
                <w:sz w:val="24"/>
                <w:szCs w:val="24"/>
              </w:rPr>
              <w:t>организации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Зоткина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Копытова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Тюмень:</w:t>
            </w:r>
            <w:r>
              <w:rPr/>
              <w:t xml:space="preserve"> </w:t>
            </w:r>
            <w:r>
              <w:rPr>
                <w:rFonts w:ascii="Times New Roman" w:hAnsi="Times New Roman" w:cs="Times New Roman"/>
                <w:color w:val="#000000"/>
                <w:sz w:val="24"/>
                <w:szCs w:val="24"/>
              </w:rPr>
              <w:t>Тюменский</w:t>
            </w:r>
            <w:r>
              <w:rPr/>
              <w:t xml:space="preserve"> </w:t>
            </w:r>
            <w:r>
              <w:rPr>
                <w:rFonts w:ascii="Times New Roman" w:hAnsi="Times New Roman" w:cs="Times New Roman"/>
                <w:color w:val="#000000"/>
                <w:sz w:val="24"/>
                <w:szCs w:val="24"/>
              </w:rPr>
              <w:t>индустриальный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978-5-9961-1344-6.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http://www.iprbookshop.ru/83744.html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Мотивация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стимулирование</w:t>
            </w:r>
            <w:r>
              <w:rPr/>
              <w:t xml:space="preserve"> </w:t>
            </w:r>
            <w:r>
              <w:rPr>
                <w:rFonts w:ascii="Times New Roman" w:hAnsi="Times New Roman" w:cs="Times New Roman"/>
                <w:color w:val="#000000"/>
                <w:sz w:val="24"/>
                <w:szCs w:val="24"/>
              </w:rPr>
              <w:t>трудовой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Абакумова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Мотивация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стимулирование</w:t>
            </w:r>
            <w:r>
              <w:rPr/>
              <w:t xml:space="preserve"> </w:t>
            </w:r>
            <w:r>
              <w:rPr>
                <w:rFonts w:ascii="Times New Roman" w:hAnsi="Times New Roman" w:cs="Times New Roman"/>
                <w:color w:val="#000000"/>
                <w:sz w:val="24"/>
                <w:szCs w:val="24"/>
              </w:rPr>
              <w:t>трудовой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Новосибирск:</w:t>
            </w:r>
            <w:r>
              <w:rPr/>
              <w:t xml:space="preserve"> </w:t>
            </w:r>
            <w:r>
              <w:rPr>
                <w:rFonts w:ascii="Times New Roman" w:hAnsi="Times New Roman" w:cs="Times New Roman"/>
                <w:color w:val="#000000"/>
                <w:sz w:val="24"/>
                <w:szCs w:val="24"/>
              </w:rPr>
              <w:t>Новосибирский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экономики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«НИНХ»,</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978-5-7014-0689-4.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http://www.iprbookshop.ru/87136.html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689.212"/>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 (или) асинхронное взаимодействие посредством сети «Интернет».</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3815.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1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2128.41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2024-2025_ФГОС3++2024_Бак-ОЗФО-УП(ОТОП)(24)_plx_Мотивация и стимулирование персонала</dc:title>
  <dc:creator>FastReport.NET</dc:creator>
</cp:coreProperties>
</file>